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【朕都有&amp;纯甄帝都】北京双飞5天｜圆明园套票｜皇城脚下看大戏｜恭王府｜采摘樱桃｜军博/首博｜天坛套票｜升旗仪式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特色三：老北京绝活展示—精湛的老北京天桥民俗表演，技艺高超，引人入胜，定能让您拍手叫绝！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★探秘故宫：穿过朱红宫墙，一步一景皆在画中的唯美景象；
                <w:br/>
                ★樱你而来：特别赠送应季水果采摘，体验亲手采樱桃的乐趣；
                <w:br/>
                ★圆明园套票：感受历史沧桑，领略皇家园林别样魅力；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★【盛世牡丹烤鸭宴-60元餐标】【宫廷八喜宴】【五彩饺子宴】【燕京八大碗】【皇城京味宴】等7正
                <w:br/>
                ★全程入住四星标准A类酒店：全季/丽枫/喆啡/桔子或同级，享用丰富的自助早。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该景点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3.军事博物馆/首都博物馆景点为免费开放景点，因政策性关闭或预约人数限制不能入内参观则改为外观，且不作任何赔偿，敬请谅解！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中餐：享用【京味自助餐】，餐标30元/人；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八大处-颐和园-圆明园（套票）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套票】（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2025-04-04T07:52:07+08:00</dcterms:created>
  <dcterms:modified xsi:type="dcterms:W3CDTF">2025-04-04T07:52:07+08:00</dcterms:modified>
</cp:coreProperties>
</file>

<file path=docProps/custom.xml><?xml version="1.0" encoding="utf-8"?>
<Properties xmlns="http://schemas.openxmlformats.org/officeDocument/2006/custom-properties" xmlns:vt="http://schemas.openxmlformats.org/officeDocument/2006/docPropsVTypes"/>
</file>