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缓缓航经美丽壮观的比格尔水道展开南极摄影巡游之旅。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 出发前120天以上取消行程者， 已交的定金不退；
                <w:br/>
                √ 出发前120天内（含120天）取消行程者，每位旅客需付费用为团款之100%。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w:br/>
                √ 行程关于船图片是装修效果图，同一类型的船舱内部也不尽相同，目的地的介绍来源于参考资料，与实际有出入那么与实际为准，不视作旅行社违规。
                <w:br/>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2025-04-20T02:11:04+08:00</dcterms:created>
  <dcterms:modified xsi:type="dcterms:W3CDTF">2025-04-20T02:11:04+08:00</dcterms:modified>
</cp:coreProperties>
</file>

<file path=docProps/custom.xml><?xml version="1.0" encoding="utf-8"?>
<Properties xmlns="http://schemas.openxmlformats.org/officeDocument/2006/custom-properties" xmlns:vt="http://schemas.openxmlformats.org/officeDocument/2006/docPropsVTypes"/>
</file>