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【春节】阿联酋迪拜6天4晚 | 纯玩无购物 | 全程含餐 | 2晚五星酒店 | 1晚7星帆船 | 1晚萨迪亚特 | 参观卢浮宫 | 沙漠冲沙（广州EK）行程单</w:t>
      </w:r>
    </w:p>
    <w:p>
      <w:pPr>
        <w:jc w:val="center"/>
        <w:spacing w:after="100"/>
      </w:pPr>
      <w:r>
        <w:rPr>
          <w:rFonts w:ascii="宋体" w:hAnsi="宋体" w:eastAsia="宋体" w:cs="宋体"/>
          <w:sz w:val="20"/>
          <w:szCs w:val="20"/>
        </w:rPr>
        <w:t xml:space="preserve">【春节】U4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AA20250125U4UW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纯玩阿联酋6天4晚
                <w:br/>
                产品经理推荐	
                <w:br/>
                迪拜2晚国际五星+1晚7星帆船酒店+1晚阿布扎比萨迪亚特岛卓美亚度假村，享奢华酒店体验
                <w:br/>
                入住帆船酒店170平米豪华单卧双床海景套房，饱览阿拉伯海湾壮丽景致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
                <w:br/>
                7星帆船酒店自助早餐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w:t>
            </w:r>
          </w:p>
        </w:tc>
        <w:tc>
          <w:tcPr/>
          <w:p>
            <w:pPr>
              <w:pStyle w:val="indent"/>
            </w:pPr>
            <w:r>
              <w:rPr>
                <w:rFonts w:ascii="宋体" w:hAnsi="宋体" w:eastAsia="宋体" w:cs="宋体"/>
                <w:color w:val="000000"/>
                <w:sz w:val="20"/>
                <w:szCs w:val="20"/>
              </w:rPr>
              <w:t xml:space="preserve">早餐：X     午餐：中式午餐     晚餐：萨迪亚特岛卓美亚度假村酒店自助晚餐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早餐：酒店自助     午餐：阿拉伯自助午餐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早餐：七星帆船酒店自助早餐     午餐：海鲜手抓饭     晚餐：冲沙晚餐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后乘车前往【Dubai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
                <w:br/>
                7.	以上报价未提及的项目
                <w:br/>
                8.	特别要求之单间房差：人民币11000/人/全程，11岁以下小孩不占床减2800人民币，占床与成人同价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65岁以上包括65岁老年人报名需建议购买境外紧急救援医疗300,000元以上及紧急医疗转院和转运回国1,000,000以上的保险。请自行购买并提供保单电子版给我社！或我社可协助客人代购保险：保费200元/人。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2024-12-22T18:14:12+08:00</dcterms:created>
  <dcterms:modified xsi:type="dcterms:W3CDTF">2024-12-22T18:14:12+08:00</dcterms:modified>
</cp:coreProperties>
</file>

<file path=docProps/custom.xml><?xml version="1.0" encoding="utf-8"?>
<Properties xmlns="http://schemas.openxmlformats.org/officeDocument/2006/custom-properties" xmlns:vt="http://schemas.openxmlformats.org/officeDocument/2006/docPropsVTypes"/>
</file>