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【春节-名动本州】日本双飞6天5夜|广州往返|游走东京、镰仓、大阪、京都|特别安排富士山雪场玩雪盘行程单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JP1732095222Bk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0905-1345
                <w:br/>
                回程：CZ6056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【冬季优选】:游走东京、镰仓、大阪、京都、特别安排富士山雪场玩雪盘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综合免税店-浅草寺-仲见世-秋叶原电器街-银座大街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珍珠文化馆-湘南海岸（车览）-镰仓小町通-鹤冈八幡宫
                <w:br/>
                【鹤冈八幡宫】(停留时间约60分钟)（赏枫）鹤冈八幡宫是位于日本神奈川县镰仓市的神社，是三大八幡宫之一，主祭神是八幡三神：应神天皇、比卖神、神功皇后。鹤冈八幡宫在中世是武家守护神的信仰中心，仍是镰仓的标志。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【珍珠文化馆】日本人气珊瑚首饰等物品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2024-11-21T17:52:14+08:00</dcterms:created>
  <dcterms:modified xsi:type="dcterms:W3CDTF">2024-11-21T17:52:14+08:00</dcterms:modified>
</cp:coreProperties>
</file>

<file path=docProps/custom.xml><?xml version="1.0" encoding="utf-8"?>
<Properties xmlns="http://schemas.openxmlformats.org/officeDocument/2006/custom-properties" xmlns:vt="http://schemas.openxmlformats.org/officeDocument/2006/docPropsVTypes"/>
</file>