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【春节】阿联酋7天之旅 | 升级1晚SLS酒店 | 法拉利主题公园 | 阿布扎比卢浮宫  | 沙漠冲沙+营地体验  | 广州CZ（可申请全国联运）行程单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AA1731908920ZH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1425/1910      飞行时间：约8小时45分
                <w:br/>
                迪拜✈广州 国际航班参考：CZ8058    2120/0805+1   飞行时间：约6小时45分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★2晚迪拜国际五星酒店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1425/1910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2120/0805+1       飞行时间：约6小时45分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2.全程单房差RMB4200/人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2024-12-23T10:51:16+08:00</dcterms:created>
  <dcterms:modified xsi:type="dcterms:W3CDTF">2024-12-23T10:51:16+08:00</dcterms:modified>
</cp:coreProperties>
</file>

<file path=docProps/custom.xml><?xml version="1.0" encoding="utf-8"?>
<Properties xmlns="http://schemas.openxmlformats.org/officeDocument/2006/custom-properties" xmlns:vt="http://schemas.openxmlformats.org/officeDocument/2006/docPropsVTypes"/>
</file>