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冬季 春季】超值英伦·英格兰+苏格兰10天丨剑桥牛津双学府丨大英博物馆含讲解丨巴斯丨莎翁小镇丨温德米尔湖区丨爱丁堡丨伦敦丨曼彻斯特行程单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EU20240108Y-CG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英伦印象：特别安排伦敦自由活动，慢慢品味伦敦的都市文化，体验浓厚的英伦风情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伦敦-约98KM-剑桥-约262KM-约克-约38KM-英国小镇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英国小镇-约171KM-温德米尔湖区-约249KM-苏格兰小镇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苏格兰小镇-爱丁堡-英国小镇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英国小镇-约130KM-埃文河畔斯特拉福德-约60KM-拜伯里小镇-约68KM-巴斯-约60KM -英国小镇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英国小镇-约52KM-牛津-约101KM-伦敦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 深圳
                <w:br/>
                参考航班：ZH888   LHR/SZX  2200-1710+1（航班仅供参考，具体以实际为准）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1.不含签证费+司导服务费+酒店税3000元/人（该费用与团款一起收取）；
                <w:br/>
                2.全程酒店单人间附加费3200元/人（酒店单房差仅指普通单人间如要求安排大床房或标双，单房差另议）；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2024-12-24T09:14:15+08:00</dcterms:created>
  <dcterms:modified xsi:type="dcterms:W3CDTF">2024-12-24T09:14:15+08:00</dcterms:modified>
</cp:coreProperties>
</file>

<file path=docProps/custom.xml><?xml version="1.0" encoding="utf-8"?>
<Properties xmlns="http://schemas.openxmlformats.org/officeDocument/2006/custom-properties" xmlns:vt="http://schemas.openxmlformats.org/officeDocument/2006/docPropsVTypes"/>
</file>